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7D49" w14:textId="77777777" w:rsidR="00D2673E" w:rsidRDefault="00D2673E" w:rsidP="00D2673E">
      <w:r>
        <w:rPr>
          <w:rFonts w:hint="eastAsia"/>
        </w:rPr>
        <w:t>Dear Yoshida Sir, </w:t>
      </w:r>
    </w:p>
    <w:p w14:paraId="6FAF4005" w14:textId="77777777" w:rsidR="00D2673E" w:rsidRDefault="00D2673E" w:rsidP="00D2673E">
      <w:pPr>
        <w:rPr>
          <w:rFonts w:hint="eastAsia"/>
        </w:rPr>
      </w:pPr>
      <w:r>
        <w:rPr>
          <w:rFonts w:hint="eastAsia"/>
        </w:rPr>
        <w:t>Namaste!</w:t>
      </w:r>
    </w:p>
    <w:p w14:paraId="3137EC3D" w14:textId="77777777" w:rsidR="00D2673E" w:rsidRDefault="00D2673E" w:rsidP="00D2673E">
      <w:pPr>
        <w:rPr>
          <w:rFonts w:hint="eastAsia"/>
        </w:rPr>
      </w:pPr>
    </w:p>
    <w:p w14:paraId="496EB3B4" w14:textId="77777777" w:rsidR="00D2673E" w:rsidRDefault="00D2673E" w:rsidP="00D2673E">
      <w:pPr>
        <w:rPr>
          <w:rFonts w:hint="eastAsia"/>
        </w:rPr>
      </w:pPr>
      <w:r>
        <w:rPr>
          <w:rFonts w:hint="eastAsia"/>
        </w:rPr>
        <w:t>I have sent you an email in HKT group, I hope you got it. I am now in Kagbeni with students and return to Kathmandu on 1 July. For your kind information I have attached the information below:</w:t>
      </w:r>
    </w:p>
    <w:p w14:paraId="36F0EE89" w14:textId="77777777" w:rsidR="00D2673E" w:rsidRDefault="00D2673E" w:rsidP="00D2673E">
      <w:pPr>
        <w:rPr>
          <w:rFonts w:hint="eastAsia"/>
        </w:rPr>
      </w:pPr>
      <w:r>
        <w:rPr>
          <w:rFonts w:hint="eastAsia"/>
        </w:rPr>
        <w:t>INTRODUCTION </w:t>
      </w:r>
    </w:p>
    <w:p w14:paraId="53FBD80F" w14:textId="77777777" w:rsidR="00D2673E" w:rsidRDefault="00D2673E" w:rsidP="00D2673E">
      <w:pPr>
        <w:pStyle w:val="Web"/>
        <w:spacing w:before="0" w:beforeAutospacing="0" w:after="160" w:afterAutospacing="0" w:line="235" w:lineRule="atLeast"/>
        <w:rPr>
          <w:rFonts w:ascii="Calibri" w:hAnsi="Calibri" w:cs="Calibri" w:hint="eastAsia"/>
          <w:sz w:val="22"/>
          <w:szCs w:val="22"/>
        </w:rPr>
      </w:pPr>
      <w:r>
        <w:rPr>
          <w:rFonts w:ascii="Times" w:hAnsi="Times" w:cs="Calibri"/>
        </w:rPr>
        <w:t>The Himalaya-Karakorum-Tibet (HKT) workshop has been organized annually since 1985. It has been providing an important platform for researchers working in the region of the India-Asia Tectonic System for workshop-style discussion among their colleagues. The Nepal Geological Society (NGS) is a non-governmental organization and has been organizing such types of academic national and international level conferences, seminars, and scientific talk programs since its establishment. In addition, the Nepal Geological Society has already organized the 9</w:t>
      </w:r>
      <w:r>
        <w:rPr>
          <w:rFonts w:ascii="Times" w:hAnsi="Times" w:cs="Calibri"/>
          <w:vertAlign w:val="superscript"/>
        </w:rPr>
        <w:t>th</w:t>
      </w:r>
      <w:r>
        <w:rPr>
          <w:rFonts w:ascii="Times" w:hAnsi="Times" w:cs="Calibri"/>
        </w:rPr>
        <w:t> and 27</w:t>
      </w:r>
      <w:r>
        <w:rPr>
          <w:rFonts w:ascii="Times" w:hAnsi="Times" w:cs="Calibri"/>
          <w:vertAlign w:val="superscript"/>
        </w:rPr>
        <w:t>th</w:t>
      </w:r>
      <w:r>
        <w:rPr>
          <w:rFonts w:ascii="Times" w:hAnsi="Times" w:cs="Calibri"/>
        </w:rPr>
        <w:t> HKT workshops, respectively, in 1994 and 2012, in Nepal. The Nepal Geological Society is going to organize the 35</w:t>
      </w:r>
      <w:r>
        <w:rPr>
          <w:rFonts w:ascii="Times" w:hAnsi="Times" w:cs="Calibri"/>
          <w:vertAlign w:val="superscript"/>
        </w:rPr>
        <w:t>th</w:t>
      </w:r>
      <w:r>
        <w:rPr>
          <w:rFonts w:ascii="Times" w:hAnsi="Times" w:cs="Calibri"/>
        </w:rPr>
        <w:t> HKT workshop in Pokhara on November 2-4, 2022. November is a pleasant time to be in Pokhara and a suitable time for people to trek in the Nepal Himalaya, therefore pre-conference and post-conference geological excursions have been proposed. The organizing and management committee of the HKT-35 is looking forward to seeing you all who have been working in the region this November to share your research findings in Pokhara, Nepal!  </w:t>
      </w:r>
    </w:p>
    <w:p w14:paraId="7F9C8C90"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33C97DB4"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rPr>
        <w:t>Important Dates</w:t>
      </w:r>
      <w:r>
        <w:rPr>
          <w:rFonts w:ascii="Times" w:hAnsi="Times" w:cs="Calibri"/>
        </w:rPr>
        <w:t> </w:t>
      </w:r>
    </w:p>
    <w:p w14:paraId="53E832F0"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i/>
          <w:iCs/>
        </w:rPr>
        <w:t>Registration and Icebreaker:</w:t>
      </w:r>
      <w:r>
        <w:rPr>
          <w:rFonts w:ascii="Times" w:hAnsi="Times" w:cs="Calibri"/>
        </w:rPr>
        <w:t> Evening of 1</w:t>
      </w:r>
      <w:r>
        <w:rPr>
          <w:rFonts w:ascii="Times" w:hAnsi="Times" w:cs="Calibri"/>
          <w:vertAlign w:val="superscript"/>
        </w:rPr>
        <w:t>st</w:t>
      </w:r>
      <w:r>
        <w:rPr>
          <w:rFonts w:ascii="Times" w:hAnsi="Times" w:cs="Calibri"/>
        </w:rPr>
        <w:t> November 2022 </w:t>
      </w:r>
    </w:p>
    <w:p w14:paraId="0DF70525"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i/>
          <w:iCs/>
        </w:rPr>
        <w:t>Pre-conference field trip:</w:t>
      </w:r>
      <w:r>
        <w:rPr>
          <w:rFonts w:ascii="Times" w:hAnsi="Times" w:cs="Calibri"/>
        </w:rPr>
        <w:t> "Lesser Himalayan Crystalline and meta-sediments of central Nepal from Kathmandu-Pokhara": 1</w:t>
      </w:r>
      <w:r>
        <w:rPr>
          <w:rFonts w:ascii="Times" w:hAnsi="Times" w:cs="Calibri"/>
          <w:vertAlign w:val="superscript"/>
        </w:rPr>
        <w:t>st</w:t>
      </w:r>
      <w:r>
        <w:rPr>
          <w:rFonts w:ascii="Times" w:hAnsi="Times" w:cs="Calibri"/>
        </w:rPr>
        <w:t> November 2022.  </w:t>
      </w:r>
    </w:p>
    <w:p w14:paraId="588D1BC1"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i/>
          <w:iCs/>
        </w:rPr>
        <w:t>Main workshop:</w:t>
      </w:r>
      <w:r>
        <w:rPr>
          <w:rFonts w:ascii="Times" w:hAnsi="Times" w:cs="Calibri"/>
        </w:rPr>
        <w:t> Wednesday through Friday, November 2</w:t>
      </w:r>
      <w:r>
        <w:rPr>
          <w:rFonts w:ascii="Times" w:hAnsi="Times" w:cs="Calibri"/>
          <w:vertAlign w:val="superscript"/>
        </w:rPr>
        <w:t>nd</w:t>
      </w:r>
      <w:r>
        <w:rPr>
          <w:rFonts w:ascii="Times" w:hAnsi="Times" w:cs="Calibri"/>
        </w:rPr>
        <w:t> - 4</w:t>
      </w:r>
      <w:r>
        <w:rPr>
          <w:rFonts w:ascii="Times" w:hAnsi="Times" w:cs="Calibri"/>
          <w:vertAlign w:val="superscript"/>
        </w:rPr>
        <w:t>th</w:t>
      </w:r>
      <w:r>
        <w:rPr>
          <w:rFonts w:ascii="Times" w:hAnsi="Times" w:cs="Calibri"/>
        </w:rPr>
        <w:t>, 2022 </w:t>
      </w:r>
    </w:p>
    <w:p w14:paraId="386EA79C"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i/>
          <w:iCs/>
        </w:rPr>
        <w:t>Post-conference field trip:</w:t>
      </w:r>
      <w:r>
        <w:rPr>
          <w:rFonts w:ascii="Times" w:hAnsi="Times" w:cs="Calibri"/>
        </w:rPr>
        <w:t> “Pokhara valley-fill sediments and MCT area to the north of Pokhara, Nepal”: Saturday and Sunday, November 5</w:t>
      </w:r>
      <w:r>
        <w:rPr>
          <w:rFonts w:ascii="Times" w:hAnsi="Times" w:cs="Calibri"/>
          <w:vertAlign w:val="superscript"/>
        </w:rPr>
        <w:t>th</w:t>
      </w:r>
      <w:r>
        <w:rPr>
          <w:rFonts w:ascii="Times" w:hAnsi="Times" w:cs="Calibri"/>
        </w:rPr>
        <w:t> - 6</w:t>
      </w:r>
      <w:r>
        <w:rPr>
          <w:rFonts w:ascii="Times" w:hAnsi="Times" w:cs="Calibri"/>
          <w:vertAlign w:val="superscript"/>
        </w:rPr>
        <w:t>th</w:t>
      </w:r>
      <w:r>
        <w:rPr>
          <w:rFonts w:ascii="Times" w:hAnsi="Times" w:cs="Calibri"/>
        </w:rPr>
        <w:t>, 2022 </w:t>
      </w:r>
    </w:p>
    <w:p w14:paraId="0820E61D"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i/>
          <w:iCs/>
        </w:rPr>
        <w:t>Post-conference field trip:</w:t>
      </w:r>
      <w:r>
        <w:rPr>
          <w:rFonts w:ascii="Times" w:hAnsi="Times" w:cs="Calibri"/>
        </w:rPr>
        <w:t> “Traverse across the Lesser, Higher and Tethys Himalayas from Pokhara to Muktinath”: Friday evening through Tuesday evening, November 4</w:t>
      </w:r>
      <w:r>
        <w:rPr>
          <w:rFonts w:ascii="Times" w:hAnsi="Times" w:cs="Calibri"/>
          <w:vertAlign w:val="superscript"/>
        </w:rPr>
        <w:t>th</w:t>
      </w:r>
      <w:r>
        <w:rPr>
          <w:rFonts w:ascii="Times" w:hAnsi="Times" w:cs="Calibri"/>
        </w:rPr>
        <w:t> – 8</w:t>
      </w:r>
      <w:r>
        <w:rPr>
          <w:rFonts w:ascii="Times" w:hAnsi="Times" w:cs="Calibri"/>
          <w:vertAlign w:val="superscript"/>
        </w:rPr>
        <w:t>th</w:t>
      </w:r>
      <w:r>
        <w:rPr>
          <w:rFonts w:ascii="Times" w:hAnsi="Times" w:cs="Calibri"/>
        </w:rPr>
        <w:t>, 2022 </w:t>
      </w:r>
    </w:p>
    <w:p w14:paraId="7128A339"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3F0AC6DB"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rPr>
        <w:t>Themes</w:t>
      </w:r>
      <w:r>
        <w:rPr>
          <w:rFonts w:ascii="Times" w:hAnsi="Times" w:cs="Calibri"/>
        </w:rPr>
        <w:t> </w:t>
      </w:r>
    </w:p>
    <w:p w14:paraId="1B7B90DC"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The international conference's theme is "Geosciences for People's Prosperity and Sustainable Development </w:t>
      </w:r>
      <w:r>
        <w:rPr>
          <w:rFonts w:ascii="Times" w:hAnsi="Times" w:cs="Calibri"/>
          <w:b/>
          <w:bCs/>
        </w:rPr>
        <w:t>(</w:t>
      </w:r>
      <w:proofErr w:type="spellStart"/>
      <w:r>
        <w:rPr>
          <w:rFonts w:ascii="Nirmala UI" w:hAnsi="Nirmala UI" w:cs="Nirmala UI"/>
        </w:rPr>
        <w:t>जनताको</w:t>
      </w:r>
      <w:proofErr w:type="spellEnd"/>
      <w:r>
        <w:rPr>
          <w:rFonts w:ascii="Mangal" w:hAnsi="Mangal" w:cs="Mangal"/>
        </w:rPr>
        <w:t xml:space="preserve"> </w:t>
      </w:r>
      <w:proofErr w:type="spellStart"/>
      <w:r>
        <w:rPr>
          <w:rFonts w:ascii="Nirmala UI" w:hAnsi="Nirmala UI" w:cs="Nirmala UI"/>
        </w:rPr>
        <w:t>समृदिर</w:t>
      </w:r>
      <w:proofErr w:type="spellEnd"/>
      <w:r>
        <w:rPr>
          <w:rFonts w:ascii="Mangal" w:hAnsi="Mangal" w:cs="Mangal"/>
        </w:rPr>
        <w:t xml:space="preserve"> </w:t>
      </w:r>
      <w:proofErr w:type="spellStart"/>
      <w:r>
        <w:rPr>
          <w:rFonts w:ascii="Nirmala UI" w:hAnsi="Nirmala UI" w:cs="Nirmala UI"/>
        </w:rPr>
        <w:t>दिगो</w:t>
      </w:r>
      <w:proofErr w:type="spellEnd"/>
      <w:r>
        <w:rPr>
          <w:rFonts w:ascii="Mangal" w:hAnsi="Mangal" w:cs="Mangal"/>
        </w:rPr>
        <w:t xml:space="preserve"> </w:t>
      </w:r>
      <w:proofErr w:type="spellStart"/>
      <w:r>
        <w:rPr>
          <w:rFonts w:ascii="Nirmala UI" w:hAnsi="Nirmala UI" w:cs="Nirmala UI"/>
        </w:rPr>
        <w:t>विकासका</w:t>
      </w:r>
      <w:proofErr w:type="spellEnd"/>
      <w:r>
        <w:rPr>
          <w:rFonts w:ascii="Mangal" w:hAnsi="Mangal" w:cs="Mangal"/>
        </w:rPr>
        <w:t xml:space="preserve"> </w:t>
      </w:r>
      <w:proofErr w:type="spellStart"/>
      <w:r>
        <w:rPr>
          <w:rFonts w:ascii="Nirmala UI" w:hAnsi="Nirmala UI" w:cs="Nirmala UI"/>
        </w:rPr>
        <w:t>लागि</w:t>
      </w:r>
      <w:proofErr w:type="spellEnd"/>
      <w:r>
        <w:rPr>
          <w:rFonts w:ascii="Mangal" w:hAnsi="Mangal" w:cs="Mangal"/>
        </w:rPr>
        <w:t xml:space="preserve"> </w:t>
      </w:r>
      <w:proofErr w:type="spellStart"/>
      <w:r>
        <w:rPr>
          <w:rFonts w:ascii="Nirmala UI" w:hAnsi="Nirmala UI" w:cs="Nirmala UI"/>
        </w:rPr>
        <w:t>भू</w:t>
      </w:r>
      <w:r>
        <w:rPr>
          <w:rFonts w:ascii="Times" w:hAnsi="Times" w:cs="Calibri"/>
        </w:rPr>
        <w:t>-</w:t>
      </w:r>
      <w:r>
        <w:rPr>
          <w:rFonts w:ascii="Nirmala UI" w:hAnsi="Nirmala UI" w:cs="Nirmala UI"/>
        </w:rPr>
        <w:t>विज्ञान</w:t>
      </w:r>
      <w:proofErr w:type="spellEnd"/>
      <w:r>
        <w:rPr>
          <w:rFonts w:ascii="Times" w:hAnsi="Times" w:cs="Calibri"/>
        </w:rPr>
        <w:t>)." The conference aims to update and enhance the concurrent knowledge and new findings in the geosciences among the participants. All geological research focused on the region of the Himalaya, Karakorum, and Tibet will be considered. However, conference sessions will be prepared based on the following sub-themes:  </w:t>
      </w:r>
    </w:p>
    <w:p w14:paraId="6E70FE78"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1.     Geomorphology, Geological mapping, Stratigraphy and Regional tectonics  </w:t>
      </w:r>
    </w:p>
    <w:p w14:paraId="7FDF246C"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2.     Advances in Mineralogy, Petrology, Geochemistry, Geochronology and Thermochronology </w:t>
      </w:r>
    </w:p>
    <w:p w14:paraId="2E85338E"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3.     Mineral Exploration, Mineral Resources and Mining, Petroleum, and Natural Gases  </w:t>
      </w:r>
    </w:p>
    <w:p w14:paraId="47178CDA"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4.     Engineering Geology, Tunneling, and Hydropower development  </w:t>
      </w:r>
    </w:p>
    <w:p w14:paraId="6D835EDC"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5.     Geo-Hazard Assessment, Risk Reduction and Mitigation for Sustainable Infrastructure Development  </w:t>
      </w:r>
    </w:p>
    <w:p w14:paraId="63DB0BB1"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6.     Environmental Geology, Hydrogeology and Water Resources  </w:t>
      </w:r>
    </w:p>
    <w:p w14:paraId="655C632F"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 xml:space="preserve">7.     Advances in Geophysics, Seismology and </w:t>
      </w:r>
      <w:proofErr w:type="spellStart"/>
      <w:r>
        <w:rPr>
          <w:rFonts w:ascii="Times" w:hAnsi="Times" w:cs="Calibri"/>
        </w:rPr>
        <w:t>Seismo</w:t>
      </w:r>
      <w:proofErr w:type="spellEnd"/>
      <w:r>
        <w:rPr>
          <w:rFonts w:ascii="Times" w:hAnsi="Times" w:cs="Calibri"/>
        </w:rPr>
        <w:t>-tectonics   </w:t>
      </w:r>
    </w:p>
    <w:p w14:paraId="2455F2C5"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8.     Glaciology, Environment, Climate Change, and adaptation  </w:t>
      </w:r>
    </w:p>
    <w:p w14:paraId="104F2A3D"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9.     Plans, Policies and Strategies of Nepal Government for application of geosciences in Sustainable Infrastructure Development  </w:t>
      </w:r>
    </w:p>
    <w:p w14:paraId="48142241"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10.  Gender history in geosciences  </w:t>
      </w:r>
    </w:p>
    <w:p w14:paraId="4772E504"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11.  Geo-tourism and Geo-heritage Conservation   </w:t>
      </w:r>
    </w:p>
    <w:p w14:paraId="1DC89648"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 xml:space="preserve">12.  Promoting </w:t>
      </w:r>
      <w:proofErr w:type="spellStart"/>
      <w:r>
        <w:rPr>
          <w:rFonts w:ascii="Times" w:hAnsi="Times" w:cs="Calibri"/>
        </w:rPr>
        <w:t>Geoethics</w:t>
      </w:r>
      <w:proofErr w:type="spellEnd"/>
      <w:r>
        <w:rPr>
          <w:rFonts w:ascii="Times" w:hAnsi="Times" w:cs="Calibri"/>
        </w:rPr>
        <w:t xml:space="preserve"> for Sustainable Development   </w:t>
      </w:r>
    </w:p>
    <w:p w14:paraId="333A1B1A"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13.  Recent Development in Geoscience Software, Laboratory Facilities and Findings </w:t>
      </w:r>
    </w:p>
    <w:p w14:paraId="572E9135" w14:textId="77777777" w:rsidR="00D2673E" w:rsidRDefault="00D2673E" w:rsidP="00D2673E">
      <w:pPr>
        <w:pStyle w:val="Web"/>
        <w:spacing w:before="0" w:beforeAutospacing="0" w:after="0" w:afterAutospacing="0"/>
        <w:ind w:left="720"/>
        <w:rPr>
          <w:rFonts w:ascii="Calibri" w:hAnsi="Calibri" w:cs="Calibri"/>
          <w:sz w:val="22"/>
          <w:szCs w:val="22"/>
        </w:rPr>
      </w:pPr>
      <w:r>
        <w:rPr>
          <w:rFonts w:ascii="Times" w:hAnsi="Times" w:cs="Calibri"/>
        </w:rPr>
        <w:t>14.  Recent Trends and Advances in Geosciences  </w:t>
      </w:r>
    </w:p>
    <w:p w14:paraId="30857326"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0A9F4AEE"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rPr>
        <w:t>Abstract Submission</w:t>
      </w:r>
      <w:r>
        <w:rPr>
          <w:rFonts w:ascii="Times" w:hAnsi="Times" w:cs="Calibri"/>
        </w:rPr>
        <w:t> </w:t>
      </w:r>
    </w:p>
    <w:p w14:paraId="1C0A42F0"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The abstract submission deadline is July 31, 2022. Abstracts are invited for both oral and poster presentations in English. All the abstracts received for oral and poster presentations in the conference will be printed in a special volume of the Journal of the Nepal Geological Society and distributed to the registered participants. Full articles related to oral and poster presentations will be published in a special issue of the Journal of the Nepal Geological Society.  </w:t>
      </w:r>
    </w:p>
    <w:p w14:paraId="50B6A6B0"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Abstract submission template is found on the website of the Nepal Geological Society, at </w:t>
      </w:r>
      <w:hyperlink r:id="rId4" w:history="1">
        <w:r>
          <w:rPr>
            <w:rStyle w:val="a3"/>
            <w:rFonts w:ascii="Times" w:hAnsi="Times" w:cs="Calibri"/>
            <w:color w:val="0078D4"/>
          </w:rPr>
          <w:t>https://ngs.org.np</w:t>
        </w:r>
      </w:hyperlink>
      <w:r>
        <w:rPr>
          <w:rFonts w:ascii="Times" w:hAnsi="Times" w:cs="Calibri"/>
        </w:rPr>
        <w:t>.  </w:t>
      </w:r>
    </w:p>
    <w:p w14:paraId="0A257BF1"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xml:space="preserve">Please contact the Convener, Dr. </w:t>
      </w:r>
      <w:proofErr w:type="spellStart"/>
      <w:r>
        <w:rPr>
          <w:rFonts w:ascii="Times" w:hAnsi="Times" w:cs="Calibri"/>
        </w:rPr>
        <w:t>Kabi</w:t>
      </w:r>
      <w:proofErr w:type="spellEnd"/>
      <w:r>
        <w:rPr>
          <w:rFonts w:ascii="Times" w:hAnsi="Times" w:cs="Calibri"/>
        </w:rPr>
        <w:t xml:space="preserve"> Raj </w:t>
      </w:r>
      <w:proofErr w:type="spellStart"/>
      <w:r>
        <w:rPr>
          <w:rFonts w:ascii="Times" w:hAnsi="Times" w:cs="Calibri"/>
        </w:rPr>
        <w:t>Paudyal</w:t>
      </w:r>
      <w:proofErr w:type="spellEnd"/>
      <w:r>
        <w:rPr>
          <w:rFonts w:ascii="Times" w:hAnsi="Times" w:cs="Calibri"/>
        </w:rPr>
        <w:t>, at </w:t>
      </w:r>
      <w:hyperlink r:id="rId5" w:history="1">
        <w:r>
          <w:rPr>
            <w:rStyle w:val="a3"/>
            <w:rFonts w:ascii="Times" w:hAnsi="Times" w:cs="Calibri"/>
            <w:color w:val="0078D4"/>
          </w:rPr>
          <w:t>paudyalkabi1976@gmail.com</w:t>
        </w:r>
      </w:hyperlink>
      <w:r>
        <w:rPr>
          <w:rFonts w:ascii="Times" w:hAnsi="Times" w:cs="Calibri"/>
        </w:rPr>
        <w:t>, </w:t>
      </w:r>
    </w:p>
    <w:p w14:paraId="5B108366"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the Chief-Editor, Dr. Prem Bahadur Thapa at </w:t>
      </w:r>
      <w:hyperlink r:id="rId6" w:history="1">
        <w:r>
          <w:rPr>
            <w:rStyle w:val="a3"/>
            <w:rFonts w:ascii="Times" w:hAnsi="Times" w:cs="Calibri"/>
            <w:color w:val="0078D4"/>
          </w:rPr>
          <w:t>geoscithapa@yahoo.com</w:t>
        </w:r>
      </w:hyperlink>
      <w:r>
        <w:rPr>
          <w:rFonts w:ascii="Times" w:hAnsi="Times" w:cs="Calibri"/>
        </w:rPr>
        <w:t>, or the President, Dr. Ananta Prasad Gajurel at </w:t>
      </w:r>
      <w:hyperlink r:id="rId7" w:history="1">
        <w:r>
          <w:rPr>
            <w:rStyle w:val="a3"/>
            <w:rFonts w:ascii="Times" w:hAnsi="Times" w:cs="Calibri"/>
            <w:color w:val="0078D4"/>
          </w:rPr>
          <w:t>ananta.gajurel@trc.tu.edu.np</w:t>
        </w:r>
      </w:hyperlink>
      <w:r>
        <w:rPr>
          <w:rFonts w:ascii="Times" w:hAnsi="Times" w:cs="Calibri"/>
        </w:rPr>
        <w:t> for additional information. </w:t>
      </w:r>
    </w:p>
    <w:p w14:paraId="238DB866"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0EE7DA74"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rPr>
        <w:t>Registration and payments</w:t>
      </w:r>
      <w:r>
        <w:rPr>
          <w:rFonts w:ascii="Times" w:hAnsi="Times" w:cs="Calibri"/>
        </w:rPr>
        <w:t> </w:t>
      </w:r>
    </w:p>
    <w:p w14:paraId="6FB44CDC"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HKT Workshop registration fee: </w:t>
      </w:r>
    </w:p>
    <w:p w14:paraId="72F58104"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Registration costs for the HKT-35 workshop are indicated below. </w:t>
      </w:r>
    </w:p>
    <w:p w14:paraId="4F636246"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tbl>
      <w:tblPr>
        <w:tblW w:w="8725" w:type="dxa"/>
        <w:tblInd w:w="720" w:type="dxa"/>
        <w:tblLook w:val="04A0" w:firstRow="1" w:lastRow="0" w:firstColumn="1" w:lastColumn="0" w:noHBand="0" w:noVBand="1"/>
      </w:tblPr>
      <w:tblGrid>
        <w:gridCol w:w="703"/>
        <w:gridCol w:w="4341"/>
        <w:gridCol w:w="1333"/>
        <w:gridCol w:w="1381"/>
        <w:gridCol w:w="967"/>
      </w:tblGrid>
      <w:tr w:rsidR="00D2673E" w14:paraId="7E2EA931" w14:textId="77777777" w:rsidTr="00D2673E">
        <w:tc>
          <w:tcPr>
            <w:tcW w:w="608" w:type="dxa"/>
            <w:tcBorders>
              <w:top w:val="single" w:sz="8" w:space="0" w:color="auto"/>
              <w:left w:val="single" w:sz="8" w:space="0" w:color="auto"/>
              <w:bottom w:val="single" w:sz="8" w:space="0" w:color="auto"/>
              <w:right w:val="single" w:sz="8" w:space="0" w:color="auto"/>
            </w:tcBorders>
            <w:hideMark/>
          </w:tcPr>
          <w:p w14:paraId="32BDFFF5"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b/>
                <w:bCs/>
                <w:kern w:val="2"/>
              </w:rPr>
              <w:t>S.N.</w:t>
            </w:r>
            <w:r>
              <w:rPr>
                <w:rFonts w:ascii="Times" w:hAnsi="Times" w:cs="Calibri"/>
                <w:kern w:val="2"/>
              </w:rPr>
              <w:t> </w:t>
            </w:r>
          </w:p>
        </w:tc>
        <w:tc>
          <w:tcPr>
            <w:tcW w:w="4413" w:type="dxa"/>
            <w:tcBorders>
              <w:top w:val="single" w:sz="8" w:space="0" w:color="auto"/>
              <w:left w:val="nil"/>
              <w:bottom w:val="single" w:sz="8" w:space="0" w:color="auto"/>
              <w:right w:val="single" w:sz="8" w:space="0" w:color="auto"/>
            </w:tcBorders>
            <w:hideMark/>
          </w:tcPr>
          <w:p w14:paraId="3E111C64"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b/>
                <w:bCs/>
                <w:kern w:val="2"/>
              </w:rPr>
              <w:t>Category</w:t>
            </w:r>
            <w:r>
              <w:rPr>
                <w:rFonts w:ascii="Times" w:hAnsi="Times" w:cs="Calibri"/>
                <w:kern w:val="2"/>
              </w:rPr>
              <w:t> </w:t>
            </w:r>
          </w:p>
        </w:tc>
        <w:tc>
          <w:tcPr>
            <w:tcW w:w="1342" w:type="dxa"/>
            <w:tcBorders>
              <w:top w:val="single" w:sz="8" w:space="0" w:color="auto"/>
              <w:left w:val="nil"/>
              <w:bottom w:val="single" w:sz="8" w:space="0" w:color="auto"/>
              <w:right w:val="single" w:sz="8" w:space="0" w:color="auto"/>
            </w:tcBorders>
            <w:hideMark/>
          </w:tcPr>
          <w:p w14:paraId="317AFF9F"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b/>
                <w:bCs/>
                <w:kern w:val="2"/>
              </w:rPr>
              <w:t>Early Bird</w:t>
            </w:r>
            <w:r>
              <w:rPr>
                <w:rFonts w:ascii="Times" w:hAnsi="Times" w:cs="Calibri"/>
                <w:kern w:val="2"/>
              </w:rPr>
              <w:t> </w:t>
            </w:r>
          </w:p>
          <w:p w14:paraId="56AD41B0"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15 July – 15 August </w:t>
            </w:r>
          </w:p>
        </w:tc>
        <w:tc>
          <w:tcPr>
            <w:tcW w:w="1390" w:type="dxa"/>
            <w:tcBorders>
              <w:top w:val="single" w:sz="8" w:space="0" w:color="auto"/>
              <w:left w:val="nil"/>
              <w:bottom w:val="single" w:sz="8" w:space="0" w:color="auto"/>
              <w:right w:val="single" w:sz="8" w:space="0" w:color="auto"/>
            </w:tcBorders>
            <w:hideMark/>
          </w:tcPr>
          <w:p w14:paraId="4FBDEF5A"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b/>
                <w:bCs/>
                <w:kern w:val="2"/>
              </w:rPr>
              <w:t>Online</w:t>
            </w:r>
            <w:r>
              <w:rPr>
                <w:rFonts w:ascii="Times" w:hAnsi="Times" w:cs="Calibri"/>
                <w:kern w:val="2"/>
              </w:rPr>
              <w:t> </w:t>
            </w:r>
          </w:p>
          <w:p w14:paraId="4494378C"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16 August </w:t>
            </w:r>
          </w:p>
          <w:p w14:paraId="0523C643"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30 October </w:t>
            </w:r>
          </w:p>
        </w:tc>
        <w:tc>
          <w:tcPr>
            <w:tcW w:w="972" w:type="dxa"/>
            <w:tcBorders>
              <w:top w:val="single" w:sz="8" w:space="0" w:color="auto"/>
              <w:left w:val="nil"/>
              <w:bottom w:val="single" w:sz="8" w:space="0" w:color="auto"/>
              <w:right w:val="single" w:sz="8" w:space="0" w:color="auto"/>
            </w:tcBorders>
            <w:hideMark/>
          </w:tcPr>
          <w:p w14:paraId="4879A7FE"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b/>
                <w:bCs/>
                <w:kern w:val="2"/>
              </w:rPr>
              <w:t>On Desk</w:t>
            </w:r>
            <w:r>
              <w:rPr>
                <w:rFonts w:ascii="Times" w:hAnsi="Times" w:cs="Calibri"/>
                <w:kern w:val="2"/>
              </w:rPr>
              <w:t> </w:t>
            </w:r>
          </w:p>
        </w:tc>
      </w:tr>
      <w:tr w:rsidR="00D2673E" w14:paraId="52930036" w14:textId="77777777" w:rsidTr="00D2673E">
        <w:tc>
          <w:tcPr>
            <w:tcW w:w="608" w:type="dxa"/>
            <w:tcBorders>
              <w:top w:val="nil"/>
              <w:left w:val="single" w:sz="8" w:space="0" w:color="auto"/>
              <w:bottom w:val="single" w:sz="8" w:space="0" w:color="auto"/>
              <w:right w:val="single" w:sz="8" w:space="0" w:color="auto"/>
            </w:tcBorders>
            <w:hideMark/>
          </w:tcPr>
          <w:p w14:paraId="5F1DA88C"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1 </w:t>
            </w:r>
          </w:p>
        </w:tc>
        <w:tc>
          <w:tcPr>
            <w:tcW w:w="4413" w:type="dxa"/>
            <w:tcBorders>
              <w:top w:val="nil"/>
              <w:left w:val="nil"/>
              <w:bottom w:val="single" w:sz="8" w:space="0" w:color="auto"/>
              <w:right w:val="single" w:sz="8" w:space="0" w:color="auto"/>
            </w:tcBorders>
            <w:hideMark/>
          </w:tcPr>
          <w:p w14:paraId="0FD7E47F"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General Foreign Participant </w:t>
            </w:r>
          </w:p>
        </w:tc>
        <w:tc>
          <w:tcPr>
            <w:tcW w:w="1342" w:type="dxa"/>
            <w:tcBorders>
              <w:top w:val="nil"/>
              <w:left w:val="nil"/>
              <w:bottom w:val="single" w:sz="8" w:space="0" w:color="auto"/>
              <w:right w:val="single" w:sz="8" w:space="0" w:color="auto"/>
            </w:tcBorders>
            <w:hideMark/>
          </w:tcPr>
          <w:p w14:paraId="6865833F"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$400 </w:t>
            </w:r>
          </w:p>
        </w:tc>
        <w:tc>
          <w:tcPr>
            <w:tcW w:w="1390" w:type="dxa"/>
            <w:tcBorders>
              <w:top w:val="nil"/>
              <w:left w:val="nil"/>
              <w:bottom w:val="single" w:sz="8" w:space="0" w:color="auto"/>
              <w:right w:val="single" w:sz="8" w:space="0" w:color="auto"/>
            </w:tcBorders>
            <w:hideMark/>
          </w:tcPr>
          <w:p w14:paraId="1969010C"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$450 </w:t>
            </w:r>
          </w:p>
        </w:tc>
        <w:tc>
          <w:tcPr>
            <w:tcW w:w="972" w:type="dxa"/>
            <w:tcBorders>
              <w:top w:val="nil"/>
              <w:left w:val="nil"/>
              <w:bottom w:val="single" w:sz="8" w:space="0" w:color="auto"/>
              <w:right w:val="single" w:sz="8" w:space="0" w:color="auto"/>
            </w:tcBorders>
            <w:hideMark/>
          </w:tcPr>
          <w:p w14:paraId="6C59F82E"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$500 </w:t>
            </w:r>
          </w:p>
        </w:tc>
      </w:tr>
      <w:tr w:rsidR="00D2673E" w14:paraId="7DCDC534" w14:textId="77777777" w:rsidTr="00D2673E">
        <w:tc>
          <w:tcPr>
            <w:tcW w:w="608" w:type="dxa"/>
            <w:tcBorders>
              <w:top w:val="nil"/>
              <w:left w:val="single" w:sz="8" w:space="0" w:color="auto"/>
              <w:bottom w:val="single" w:sz="8" w:space="0" w:color="auto"/>
              <w:right w:val="single" w:sz="8" w:space="0" w:color="auto"/>
            </w:tcBorders>
            <w:hideMark/>
          </w:tcPr>
          <w:p w14:paraId="6C7BE910"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2 </w:t>
            </w:r>
          </w:p>
        </w:tc>
        <w:tc>
          <w:tcPr>
            <w:tcW w:w="4413" w:type="dxa"/>
            <w:tcBorders>
              <w:top w:val="nil"/>
              <w:left w:val="nil"/>
              <w:bottom w:val="single" w:sz="8" w:space="0" w:color="auto"/>
              <w:right w:val="single" w:sz="8" w:space="0" w:color="auto"/>
            </w:tcBorders>
            <w:hideMark/>
          </w:tcPr>
          <w:p w14:paraId="68A8F5A8"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Accompanied Foreign Participant  </w:t>
            </w:r>
          </w:p>
        </w:tc>
        <w:tc>
          <w:tcPr>
            <w:tcW w:w="1342" w:type="dxa"/>
            <w:tcBorders>
              <w:top w:val="nil"/>
              <w:left w:val="nil"/>
              <w:bottom w:val="single" w:sz="8" w:space="0" w:color="auto"/>
              <w:right w:val="single" w:sz="8" w:space="0" w:color="auto"/>
            </w:tcBorders>
            <w:hideMark/>
          </w:tcPr>
          <w:p w14:paraId="34E52F22"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$250 </w:t>
            </w:r>
          </w:p>
        </w:tc>
        <w:tc>
          <w:tcPr>
            <w:tcW w:w="1390" w:type="dxa"/>
            <w:tcBorders>
              <w:top w:val="nil"/>
              <w:left w:val="nil"/>
              <w:bottom w:val="single" w:sz="8" w:space="0" w:color="auto"/>
              <w:right w:val="single" w:sz="8" w:space="0" w:color="auto"/>
            </w:tcBorders>
            <w:hideMark/>
          </w:tcPr>
          <w:p w14:paraId="574E03EA"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$300 </w:t>
            </w:r>
          </w:p>
        </w:tc>
        <w:tc>
          <w:tcPr>
            <w:tcW w:w="972" w:type="dxa"/>
            <w:tcBorders>
              <w:top w:val="nil"/>
              <w:left w:val="nil"/>
              <w:bottom w:val="single" w:sz="8" w:space="0" w:color="auto"/>
              <w:right w:val="single" w:sz="8" w:space="0" w:color="auto"/>
            </w:tcBorders>
            <w:hideMark/>
          </w:tcPr>
          <w:p w14:paraId="66F91CAB"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$350 </w:t>
            </w:r>
          </w:p>
        </w:tc>
      </w:tr>
      <w:tr w:rsidR="00D2673E" w14:paraId="4FFBF50C" w14:textId="77777777" w:rsidTr="00D2673E">
        <w:tc>
          <w:tcPr>
            <w:tcW w:w="608" w:type="dxa"/>
            <w:tcBorders>
              <w:top w:val="nil"/>
              <w:left w:val="single" w:sz="8" w:space="0" w:color="auto"/>
              <w:bottom w:val="single" w:sz="8" w:space="0" w:color="auto"/>
              <w:right w:val="single" w:sz="8" w:space="0" w:color="auto"/>
            </w:tcBorders>
            <w:hideMark/>
          </w:tcPr>
          <w:p w14:paraId="5A134A1C"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3 </w:t>
            </w:r>
          </w:p>
        </w:tc>
        <w:tc>
          <w:tcPr>
            <w:tcW w:w="4413" w:type="dxa"/>
            <w:tcBorders>
              <w:top w:val="nil"/>
              <w:left w:val="nil"/>
              <w:bottom w:val="single" w:sz="8" w:space="0" w:color="auto"/>
              <w:right w:val="single" w:sz="8" w:space="0" w:color="auto"/>
            </w:tcBorders>
            <w:hideMark/>
          </w:tcPr>
          <w:p w14:paraId="310EF581"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Foreign Student </w:t>
            </w:r>
          </w:p>
        </w:tc>
        <w:tc>
          <w:tcPr>
            <w:tcW w:w="1342" w:type="dxa"/>
            <w:tcBorders>
              <w:top w:val="nil"/>
              <w:left w:val="nil"/>
              <w:bottom w:val="single" w:sz="8" w:space="0" w:color="auto"/>
              <w:right w:val="single" w:sz="8" w:space="0" w:color="auto"/>
            </w:tcBorders>
            <w:hideMark/>
          </w:tcPr>
          <w:p w14:paraId="25ED2DD5"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$200 </w:t>
            </w:r>
          </w:p>
        </w:tc>
        <w:tc>
          <w:tcPr>
            <w:tcW w:w="1390" w:type="dxa"/>
            <w:tcBorders>
              <w:top w:val="nil"/>
              <w:left w:val="nil"/>
              <w:bottom w:val="single" w:sz="8" w:space="0" w:color="auto"/>
              <w:right w:val="single" w:sz="8" w:space="0" w:color="auto"/>
            </w:tcBorders>
            <w:hideMark/>
          </w:tcPr>
          <w:p w14:paraId="1704014C"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$225 </w:t>
            </w:r>
          </w:p>
        </w:tc>
        <w:tc>
          <w:tcPr>
            <w:tcW w:w="972" w:type="dxa"/>
            <w:tcBorders>
              <w:top w:val="nil"/>
              <w:left w:val="nil"/>
              <w:bottom w:val="single" w:sz="8" w:space="0" w:color="auto"/>
              <w:right w:val="single" w:sz="8" w:space="0" w:color="auto"/>
            </w:tcBorders>
            <w:hideMark/>
          </w:tcPr>
          <w:p w14:paraId="0FB28DF0"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$250 </w:t>
            </w:r>
          </w:p>
        </w:tc>
      </w:tr>
      <w:tr w:rsidR="00D2673E" w14:paraId="6E8687AE" w14:textId="77777777" w:rsidTr="00D2673E">
        <w:tc>
          <w:tcPr>
            <w:tcW w:w="608" w:type="dxa"/>
            <w:tcBorders>
              <w:top w:val="nil"/>
              <w:left w:val="single" w:sz="8" w:space="0" w:color="auto"/>
              <w:bottom w:val="single" w:sz="8" w:space="0" w:color="auto"/>
              <w:right w:val="single" w:sz="8" w:space="0" w:color="auto"/>
            </w:tcBorders>
            <w:hideMark/>
          </w:tcPr>
          <w:p w14:paraId="0FF4A46E"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4 </w:t>
            </w:r>
          </w:p>
        </w:tc>
        <w:tc>
          <w:tcPr>
            <w:tcW w:w="4413" w:type="dxa"/>
            <w:tcBorders>
              <w:top w:val="nil"/>
              <w:left w:val="nil"/>
              <w:bottom w:val="single" w:sz="8" w:space="0" w:color="auto"/>
              <w:right w:val="single" w:sz="8" w:space="0" w:color="auto"/>
            </w:tcBorders>
            <w:hideMark/>
          </w:tcPr>
          <w:p w14:paraId="3754C5FC"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Participant from SAARC Nation </w:t>
            </w:r>
          </w:p>
        </w:tc>
        <w:tc>
          <w:tcPr>
            <w:tcW w:w="1342" w:type="dxa"/>
            <w:tcBorders>
              <w:top w:val="nil"/>
              <w:left w:val="nil"/>
              <w:bottom w:val="single" w:sz="8" w:space="0" w:color="auto"/>
              <w:right w:val="single" w:sz="8" w:space="0" w:color="auto"/>
            </w:tcBorders>
            <w:hideMark/>
          </w:tcPr>
          <w:p w14:paraId="4A3C2CF6"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$250 </w:t>
            </w:r>
          </w:p>
        </w:tc>
        <w:tc>
          <w:tcPr>
            <w:tcW w:w="1390" w:type="dxa"/>
            <w:tcBorders>
              <w:top w:val="nil"/>
              <w:left w:val="nil"/>
              <w:bottom w:val="single" w:sz="8" w:space="0" w:color="auto"/>
              <w:right w:val="single" w:sz="8" w:space="0" w:color="auto"/>
            </w:tcBorders>
            <w:hideMark/>
          </w:tcPr>
          <w:p w14:paraId="0195C019"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$300 </w:t>
            </w:r>
          </w:p>
        </w:tc>
        <w:tc>
          <w:tcPr>
            <w:tcW w:w="972" w:type="dxa"/>
            <w:tcBorders>
              <w:top w:val="nil"/>
              <w:left w:val="nil"/>
              <w:bottom w:val="single" w:sz="8" w:space="0" w:color="auto"/>
              <w:right w:val="single" w:sz="8" w:space="0" w:color="auto"/>
            </w:tcBorders>
            <w:hideMark/>
          </w:tcPr>
          <w:p w14:paraId="68F733AE"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$350 </w:t>
            </w:r>
          </w:p>
        </w:tc>
      </w:tr>
      <w:tr w:rsidR="00D2673E" w14:paraId="1EFB6A0A" w14:textId="77777777" w:rsidTr="00D2673E">
        <w:tc>
          <w:tcPr>
            <w:tcW w:w="608" w:type="dxa"/>
            <w:tcBorders>
              <w:top w:val="nil"/>
              <w:left w:val="single" w:sz="8" w:space="0" w:color="auto"/>
              <w:bottom w:val="single" w:sz="8" w:space="0" w:color="auto"/>
              <w:right w:val="single" w:sz="8" w:space="0" w:color="auto"/>
            </w:tcBorders>
            <w:hideMark/>
          </w:tcPr>
          <w:p w14:paraId="3A1011FA"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5 </w:t>
            </w:r>
          </w:p>
        </w:tc>
        <w:tc>
          <w:tcPr>
            <w:tcW w:w="4413" w:type="dxa"/>
            <w:tcBorders>
              <w:top w:val="nil"/>
              <w:left w:val="nil"/>
              <w:bottom w:val="single" w:sz="8" w:space="0" w:color="auto"/>
              <w:right w:val="single" w:sz="8" w:space="0" w:color="auto"/>
            </w:tcBorders>
            <w:hideMark/>
          </w:tcPr>
          <w:p w14:paraId="158E6FBA"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Accompanied Participant from SAARC Nation </w:t>
            </w:r>
          </w:p>
        </w:tc>
        <w:tc>
          <w:tcPr>
            <w:tcW w:w="1342" w:type="dxa"/>
            <w:tcBorders>
              <w:top w:val="nil"/>
              <w:left w:val="nil"/>
              <w:bottom w:val="single" w:sz="8" w:space="0" w:color="auto"/>
              <w:right w:val="single" w:sz="8" w:space="0" w:color="auto"/>
            </w:tcBorders>
            <w:hideMark/>
          </w:tcPr>
          <w:p w14:paraId="1460E620"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$175 </w:t>
            </w:r>
          </w:p>
        </w:tc>
        <w:tc>
          <w:tcPr>
            <w:tcW w:w="1390" w:type="dxa"/>
            <w:tcBorders>
              <w:top w:val="nil"/>
              <w:left w:val="nil"/>
              <w:bottom w:val="single" w:sz="8" w:space="0" w:color="auto"/>
              <w:right w:val="single" w:sz="8" w:space="0" w:color="auto"/>
            </w:tcBorders>
            <w:hideMark/>
          </w:tcPr>
          <w:p w14:paraId="64690BE6"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$200 </w:t>
            </w:r>
          </w:p>
        </w:tc>
        <w:tc>
          <w:tcPr>
            <w:tcW w:w="972" w:type="dxa"/>
            <w:tcBorders>
              <w:top w:val="nil"/>
              <w:left w:val="nil"/>
              <w:bottom w:val="single" w:sz="8" w:space="0" w:color="auto"/>
              <w:right w:val="single" w:sz="8" w:space="0" w:color="auto"/>
            </w:tcBorders>
            <w:hideMark/>
          </w:tcPr>
          <w:p w14:paraId="2CFA7230"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$225 </w:t>
            </w:r>
          </w:p>
        </w:tc>
      </w:tr>
      <w:tr w:rsidR="00D2673E" w14:paraId="656874E1" w14:textId="77777777" w:rsidTr="00D2673E">
        <w:tc>
          <w:tcPr>
            <w:tcW w:w="608" w:type="dxa"/>
            <w:tcBorders>
              <w:top w:val="nil"/>
              <w:left w:val="single" w:sz="8" w:space="0" w:color="auto"/>
              <w:bottom w:val="single" w:sz="8" w:space="0" w:color="auto"/>
              <w:right w:val="single" w:sz="8" w:space="0" w:color="auto"/>
            </w:tcBorders>
            <w:hideMark/>
          </w:tcPr>
          <w:p w14:paraId="2E1FC9DD"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6 </w:t>
            </w:r>
          </w:p>
        </w:tc>
        <w:tc>
          <w:tcPr>
            <w:tcW w:w="4413" w:type="dxa"/>
            <w:tcBorders>
              <w:top w:val="nil"/>
              <w:left w:val="nil"/>
              <w:bottom w:val="single" w:sz="8" w:space="0" w:color="auto"/>
              <w:right w:val="single" w:sz="8" w:space="0" w:color="auto"/>
            </w:tcBorders>
            <w:hideMark/>
          </w:tcPr>
          <w:p w14:paraId="14900106"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Student from SAARC Nation </w:t>
            </w:r>
          </w:p>
        </w:tc>
        <w:tc>
          <w:tcPr>
            <w:tcW w:w="1342" w:type="dxa"/>
            <w:tcBorders>
              <w:top w:val="nil"/>
              <w:left w:val="nil"/>
              <w:bottom w:val="single" w:sz="8" w:space="0" w:color="auto"/>
              <w:right w:val="single" w:sz="8" w:space="0" w:color="auto"/>
            </w:tcBorders>
            <w:hideMark/>
          </w:tcPr>
          <w:p w14:paraId="7383FF92"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$175 </w:t>
            </w:r>
          </w:p>
        </w:tc>
        <w:tc>
          <w:tcPr>
            <w:tcW w:w="1390" w:type="dxa"/>
            <w:tcBorders>
              <w:top w:val="nil"/>
              <w:left w:val="nil"/>
              <w:bottom w:val="single" w:sz="8" w:space="0" w:color="auto"/>
              <w:right w:val="single" w:sz="8" w:space="0" w:color="auto"/>
            </w:tcBorders>
            <w:hideMark/>
          </w:tcPr>
          <w:p w14:paraId="29F06D51"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$200 </w:t>
            </w:r>
          </w:p>
        </w:tc>
        <w:tc>
          <w:tcPr>
            <w:tcW w:w="972" w:type="dxa"/>
            <w:tcBorders>
              <w:top w:val="nil"/>
              <w:left w:val="nil"/>
              <w:bottom w:val="single" w:sz="8" w:space="0" w:color="auto"/>
              <w:right w:val="single" w:sz="8" w:space="0" w:color="auto"/>
            </w:tcBorders>
            <w:hideMark/>
          </w:tcPr>
          <w:p w14:paraId="079E77D9" w14:textId="77777777" w:rsidR="00D2673E" w:rsidRDefault="00D2673E">
            <w:pPr>
              <w:pStyle w:val="Web"/>
              <w:spacing w:before="0" w:beforeAutospacing="0" w:after="0" w:afterAutospacing="0"/>
              <w:rPr>
                <w:rFonts w:ascii="Calibri" w:hAnsi="Calibri" w:cs="Calibri"/>
                <w:kern w:val="2"/>
                <w:sz w:val="22"/>
                <w:szCs w:val="22"/>
              </w:rPr>
            </w:pPr>
            <w:r>
              <w:rPr>
                <w:rFonts w:ascii="Times" w:hAnsi="Times" w:cs="Calibri"/>
                <w:kern w:val="2"/>
              </w:rPr>
              <w:t>$225 </w:t>
            </w:r>
          </w:p>
        </w:tc>
      </w:tr>
    </w:tbl>
    <w:p w14:paraId="7358CCA7"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30B0189B" w14:textId="77777777" w:rsidR="00D2673E" w:rsidRDefault="00D2673E" w:rsidP="00D2673E">
      <w:pPr>
        <w:pStyle w:val="Web"/>
        <w:spacing w:before="0" w:beforeAutospacing="0" w:after="0" w:afterAutospacing="0"/>
        <w:rPr>
          <w:rFonts w:ascii="Calibri" w:hAnsi="Calibri" w:cs="Calibri"/>
          <w:sz w:val="22"/>
          <w:szCs w:val="22"/>
        </w:rPr>
      </w:pPr>
    </w:p>
    <w:p w14:paraId="6EACC88C" w14:textId="77777777" w:rsidR="00D2673E" w:rsidRDefault="00D2673E" w:rsidP="00D2673E">
      <w:pPr>
        <w:pStyle w:val="Web"/>
        <w:spacing w:before="0" w:beforeAutospacing="0" w:after="0" w:afterAutospacing="0"/>
        <w:rPr>
          <w:rFonts w:ascii="Calibri" w:hAnsi="Calibri" w:cs="Calibri"/>
          <w:sz w:val="22"/>
          <w:szCs w:val="22"/>
        </w:rPr>
      </w:pPr>
    </w:p>
    <w:p w14:paraId="7596A5AE" w14:textId="77777777" w:rsidR="00D2673E" w:rsidRDefault="00D2673E" w:rsidP="00D2673E">
      <w:pPr>
        <w:pStyle w:val="Web"/>
        <w:spacing w:before="0" w:beforeAutospacing="0" w:after="0" w:afterAutospacing="0"/>
        <w:rPr>
          <w:rFonts w:ascii="Calibri" w:hAnsi="Calibri" w:cs="Calibri"/>
          <w:sz w:val="22"/>
          <w:szCs w:val="22"/>
        </w:rPr>
      </w:pPr>
    </w:p>
    <w:p w14:paraId="2F5F0A1C" w14:textId="77777777" w:rsidR="00D2673E" w:rsidRDefault="00D2673E" w:rsidP="00D2673E">
      <w:pPr>
        <w:pStyle w:val="Web"/>
        <w:spacing w:before="0" w:beforeAutospacing="0" w:after="0" w:afterAutospacing="0"/>
        <w:rPr>
          <w:rFonts w:ascii="Calibri" w:hAnsi="Calibri" w:cs="Calibri"/>
          <w:sz w:val="22"/>
          <w:szCs w:val="22"/>
        </w:rPr>
      </w:pPr>
    </w:p>
    <w:p w14:paraId="6C139E6C" w14:textId="77777777" w:rsidR="00D2673E" w:rsidRDefault="00D2673E" w:rsidP="00D2673E">
      <w:pPr>
        <w:pStyle w:val="Web"/>
        <w:spacing w:before="0" w:beforeAutospacing="0" w:after="0" w:afterAutospacing="0"/>
        <w:rPr>
          <w:rFonts w:ascii="Calibri" w:hAnsi="Calibri" w:cs="Calibri"/>
          <w:sz w:val="22"/>
          <w:szCs w:val="22"/>
        </w:rPr>
      </w:pPr>
    </w:p>
    <w:p w14:paraId="47B195A9" w14:textId="77777777" w:rsidR="00D2673E" w:rsidRDefault="00D2673E" w:rsidP="00D2673E">
      <w:pPr>
        <w:pStyle w:val="Web"/>
        <w:spacing w:before="0" w:beforeAutospacing="0" w:after="0" w:afterAutospacing="0"/>
        <w:rPr>
          <w:rFonts w:ascii="Calibri" w:hAnsi="Calibri" w:cs="Calibri"/>
          <w:sz w:val="22"/>
          <w:szCs w:val="22"/>
        </w:rPr>
      </w:pPr>
    </w:p>
    <w:p w14:paraId="02C75B20" w14:textId="77777777" w:rsidR="00D2673E" w:rsidRDefault="00D2673E" w:rsidP="00D2673E">
      <w:pPr>
        <w:pStyle w:val="Web"/>
        <w:spacing w:before="0" w:beforeAutospacing="0" w:after="0" w:afterAutospacing="0"/>
        <w:rPr>
          <w:rFonts w:ascii="Calibri" w:hAnsi="Calibri" w:cs="Calibri"/>
          <w:sz w:val="22"/>
          <w:szCs w:val="22"/>
        </w:rPr>
      </w:pPr>
    </w:p>
    <w:p w14:paraId="34FF8F3A"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The registration fee includes icebreaker party, three buffet lunches and one Gala dinner, tea breaks, and the abstract volume. </w:t>
      </w:r>
    </w:p>
    <w:p w14:paraId="4B266B2E" w14:textId="77777777" w:rsidR="00D2673E" w:rsidRDefault="00D2673E" w:rsidP="00D2673E">
      <w:pPr>
        <w:pStyle w:val="Web"/>
        <w:spacing w:before="0" w:beforeAutospacing="0" w:after="160" w:afterAutospacing="0" w:line="257" w:lineRule="atLeast"/>
        <w:rPr>
          <w:rFonts w:ascii="Calibri" w:hAnsi="Calibri" w:cs="Calibri"/>
          <w:sz w:val="22"/>
          <w:szCs w:val="22"/>
        </w:rPr>
      </w:pPr>
      <w:r>
        <w:rPr>
          <w:rFonts w:ascii="Times" w:hAnsi="Times" w:cs="Calibri"/>
        </w:rPr>
        <w:t> </w:t>
      </w:r>
    </w:p>
    <w:p w14:paraId="1BEA9CA7" w14:textId="77777777" w:rsidR="00D2673E" w:rsidRDefault="00D2673E" w:rsidP="00D2673E">
      <w:pPr>
        <w:pStyle w:val="Web"/>
        <w:spacing w:before="0" w:beforeAutospacing="0" w:after="160" w:afterAutospacing="0" w:line="257" w:lineRule="atLeast"/>
        <w:rPr>
          <w:rFonts w:ascii="Calibri" w:hAnsi="Calibri" w:cs="Calibri"/>
          <w:sz w:val="22"/>
          <w:szCs w:val="22"/>
        </w:rPr>
      </w:pPr>
      <w:r>
        <w:rPr>
          <w:rFonts w:ascii="Times" w:hAnsi="Times" w:cs="Calibri"/>
        </w:rPr>
        <w:t> </w:t>
      </w:r>
      <w:r>
        <w:rPr>
          <w:rFonts w:ascii="Times" w:hAnsi="Times" w:cs="Calibri"/>
          <w:b/>
          <w:bCs/>
        </w:rPr>
        <w:t>Field trip registration Fee </w:t>
      </w:r>
    </w:p>
    <w:p w14:paraId="12887D73"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194162E5" w14:textId="77777777" w:rsidR="00D2673E" w:rsidRDefault="00D2673E" w:rsidP="00D2673E">
      <w:pPr>
        <w:pStyle w:val="Web"/>
        <w:spacing w:before="0" w:beforeAutospacing="0" w:after="160" w:afterAutospacing="0" w:line="257" w:lineRule="atLeast"/>
        <w:rPr>
          <w:rFonts w:ascii="Calibri" w:hAnsi="Calibri" w:cs="Calibri"/>
          <w:sz w:val="22"/>
          <w:szCs w:val="22"/>
        </w:rPr>
      </w:pPr>
      <w:r>
        <w:rPr>
          <w:rFonts w:ascii="Times" w:hAnsi="Times" w:cs="Calibri"/>
        </w:rPr>
        <w:t>There are two kinds of field trips i.e., one pre-conference field trip and two post-conference field trips. Field trip costs for the HKT-35 workshop are indicated below: </w:t>
      </w:r>
    </w:p>
    <w:p w14:paraId="7C7BB4EB" w14:textId="77777777" w:rsidR="00D2673E" w:rsidRDefault="00D2673E" w:rsidP="00D2673E">
      <w:pPr>
        <w:pStyle w:val="Web"/>
        <w:spacing w:before="0" w:beforeAutospacing="0" w:after="160" w:afterAutospacing="0" w:line="235" w:lineRule="atLeast"/>
        <w:rPr>
          <w:rFonts w:ascii="Calibri" w:hAnsi="Calibri" w:cs="Calibri"/>
          <w:sz w:val="22"/>
          <w:szCs w:val="22"/>
        </w:rPr>
      </w:pPr>
      <w:r>
        <w:rPr>
          <w:rFonts w:ascii="Times" w:hAnsi="Times" w:cs="Calibri"/>
        </w:rPr>
        <w:t>a.     </w:t>
      </w:r>
      <w:r>
        <w:rPr>
          <w:rFonts w:ascii="Times" w:hAnsi="Times" w:cs="Calibri"/>
          <w:b/>
          <w:bCs/>
          <w:i/>
          <w:iCs/>
        </w:rPr>
        <w:t>Pre-conference field trip:</w:t>
      </w:r>
      <w:r>
        <w:rPr>
          <w:rFonts w:ascii="Times" w:hAnsi="Times" w:cs="Calibri"/>
        </w:rPr>
        <w:t> A one-day pre-conference field trip to the Lesser Himalayan crystalline and meta-sediments of central Nepal from Kathmandu-Pokhara has been proposed. The trip focuses on the sequences of Precambrian rocks situated above and below the MCT (MT). The pre-conference fee covers transportation from Kathmandu to Pokhara by bus, one breakfast; lunch; and tea break on the way to Pokhara; and a guidebook. One day excursion fees are US $100.00. Prof. Dr. Bishal Nath Upreti (email: </w:t>
      </w:r>
      <w:hyperlink r:id="rId8" w:history="1">
        <w:r>
          <w:rPr>
            <w:rStyle w:val="a3"/>
            <w:rFonts w:ascii="Times" w:hAnsi="Times" w:cs="Calibri"/>
            <w:color w:val="0078D4"/>
          </w:rPr>
          <w:t>bnupreti@gmail.com</w:t>
        </w:r>
      </w:hyperlink>
      <w:r>
        <w:rPr>
          <w:rFonts w:ascii="Times" w:hAnsi="Times" w:cs="Calibri"/>
        </w:rPr>
        <w:t>) is the field leader. </w:t>
      </w:r>
    </w:p>
    <w:p w14:paraId="30D89162" w14:textId="77777777" w:rsidR="00D2673E" w:rsidRDefault="00D2673E" w:rsidP="00D2673E">
      <w:pPr>
        <w:pStyle w:val="Web"/>
        <w:spacing w:before="0" w:beforeAutospacing="0" w:after="160" w:afterAutospacing="0" w:line="235" w:lineRule="atLeast"/>
        <w:rPr>
          <w:rFonts w:ascii="Calibri" w:hAnsi="Calibri" w:cs="Calibri"/>
          <w:sz w:val="22"/>
          <w:szCs w:val="22"/>
        </w:rPr>
      </w:pPr>
      <w:r>
        <w:rPr>
          <w:rFonts w:ascii="Times" w:hAnsi="Times" w:cs="Calibri"/>
        </w:rPr>
        <w:t>b.     </w:t>
      </w:r>
      <w:r>
        <w:rPr>
          <w:rFonts w:ascii="Times" w:hAnsi="Times" w:cs="Calibri"/>
          <w:b/>
          <w:bCs/>
          <w:i/>
          <w:iCs/>
        </w:rPr>
        <w:t>Post-conference field trip:</w:t>
      </w:r>
      <w:r>
        <w:rPr>
          <w:rFonts w:ascii="Times" w:hAnsi="Times" w:cs="Calibri"/>
        </w:rPr>
        <w:t xml:space="preserve"> Observation of touristic key features of the Pokhara valley like </w:t>
      </w:r>
      <w:proofErr w:type="spellStart"/>
      <w:r>
        <w:rPr>
          <w:rFonts w:ascii="Times" w:hAnsi="Times" w:cs="Calibri"/>
        </w:rPr>
        <w:t>Mahendra</w:t>
      </w:r>
      <w:proofErr w:type="spellEnd"/>
      <w:r>
        <w:rPr>
          <w:rFonts w:ascii="Times" w:hAnsi="Times" w:cs="Calibri"/>
        </w:rPr>
        <w:t xml:space="preserve"> Cave, Seti River Gorge, David Fall, </w:t>
      </w:r>
      <w:proofErr w:type="spellStart"/>
      <w:r>
        <w:rPr>
          <w:rFonts w:ascii="Times" w:hAnsi="Times" w:cs="Calibri"/>
        </w:rPr>
        <w:t>Phewa</w:t>
      </w:r>
      <w:proofErr w:type="spellEnd"/>
      <w:r>
        <w:rPr>
          <w:rFonts w:ascii="Times" w:hAnsi="Times" w:cs="Calibri"/>
        </w:rPr>
        <w:t xml:space="preserve">, </w:t>
      </w:r>
      <w:proofErr w:type="spellStart"/>
      <w:r>
        <w:rPr>
          <w:rFonts w:ascii="Times" w:hAnsi="Times" w:cs="Calibri"/>
        </w:rPr>
        <w:t>Begnas</w:t>
      </w:r>
      <w:proofErr w:type="spellEnd"/>
      <w:r>
        <w:rPr>
          <w:rFonts w:ascii="Times" w:hAnsi="Times" w:cs="Calibri"/>
        </w:rPr>
        <w:t xml:space="preserve">, and Rupa Lakes, Quaternary stratigraphy of valley-fill sediments, as well as rock sequences to the north of Pokhara like the Lesser Himalayan succession and the Main Central Thrust, with the aim of discussing the geodynamic and sedimentological evolution of the Pokhara valley. The fee for 2 days (fee US $175.00) of the field trip to Pokhara Valley and its adjacent hills includes only transportation by bus, two lunches and tea break, and a guidebook. Participants will return to their own hotels for the night. (Field leader: Dr. </w:t>
      </w:r>
      <w:proofErr w:type="spellStart"/>
      <w:r>
        <w:rPr>
          <w:rFonts w:ascii="Times" w:hAnsi="Times" w:cs="Calibri"/>
        </w:rPr>
        <w:t>Kabi</w:t>
      </w:r>
      <w:proofErr w:type="spellEnd"/>
      <w:r>
        <w:rPr>
          <w:rFonts w:ascii="Times" w:hAnsi="Times" w:cs="Calibri"/>
        </w:rPr>
        <w:t xml:space="preserve"> Raj </w:t>
      </w:r>
      <w:proofErr w:type="spellStart"/>
      <w:r>
        <w:rPr>
          <w:rFonts w:ascii="Times" w:hAnsi="Times" w:cs="Calibri"/>
        </w:rPr>
        <w:t>Paudyal</w:t>
      </w:r>
      <w:proofErr w:type="spellEnd"/>
      <w:r>
        <w:rPr>
          <w:rFonts w:ascii="Times" w:hAnsi="Times" w:cs="Calibri"/>
        </w:rPr>
        <w:t>, Conference Convener, email: </w:t>
      </w:r>
      <w:hyperlink r:id="rId9" w:history="1">
        <w:r>
          <w:rPr>
            <w:rStyle w:val="a3"/>
            <w:rFonts w:ascii="Times" w:hAnsi="Times" w:cs="Calibri"/>
            <w:color w:val="0078D4"/>
          </w:rPr>
          <w:t>paudyalkabi1976@gmail.com</w:t>
        </w:r>
      </w:hyperlink>
      <w:r>
        <w:rPr>
          <w:rFonts w:ascii="Times" w:hAnsi="Times" w:cs="Calibri"/>
        </w:rPr>
        <w:t>) </w:t>
      </w:r>
    </w:p>
    <w:p w14:paraId="7F4E39BC" w14:textId="77777777" w:rsidR="00D2673E" w:rsidRDefault="00D2673E" w:rsidP="00D2673E">
      <w:pPr>
        <w:pStyle w:val="Web"/>
        <w:spacing w:before="0" w:beforeAutospacing="0" w:after="160" w:afterAutospacing="0" w:line="235" w:lineRule="atLeast"/>
        <w:rPr>
          <w:rFonts w:ascii="Calibri" w:hAnsi="Calibri" w:cs="Calibri"/>
          <w:sz w:val="22"/>
          <w:szCs w:val="22"/>
        </w:rPr>
      </w:pPr>
      <w:r>
        <w:rPr>
          <w:rFonts w:ascii="Times" w:hAnsi="Times" w:cs="Calibri"/>
        </w:rPr>
        <w:t>c.     </w:t>
      </w:r>
      <w:r>
        <w:rPr>
          <w:rFonts w:ascii="Times" w:hAnsi="Times" w:cs="Calibri"/>
          <w:b/>
          <w:bCs/>
          <w:i/>
          <w:iCs/>
        </w:rPr>
        <w:t>Post-conference field trip:</w:t>
      </w:r>
      <w:r>
        <w:rPr>
          <w:rFonts w:ascii="Times" w:hAnsi="Times" w:cs="Calibri"/>
        </w:rPr>
        <w:t> This field trip makes a traverse across the Lesser, Higher and Tethys Himalayas from Pokhara to Muktinath along the Kaligandaki River valley that provides an opportunity to observe a N-S transect of the Nepal Himalaya from the oldest Kuncha Formation (around 1.8 Ga) to Cretaceous rocks. In addition, the excursion covers the area of regional geological folds, inverted metamorphism, the MCT, high P-T metamorphic rocks, STDS, and Paleozoic rocks with fossils, Quaternary deposits, and glacial landforms along the route. The excursion group will enter the premises of the Muktinath Temple. The post-conference field trip from Pokhara to Muktinath-Pokhara includes transportation by Jeeps/Vans, five breakfasts, five lunches, five dinners, five nights' hotel accommodation in non-star hotels, National Park entry fees, and a guidebook.  </w:t>
      </w:r>
    </w:p>
    <w:p w14:paraId="7709D907" w14:textId="77777777" w:rsidR="00D2673E" w:rsidRDefault="00D2673E" w:rsidP="00D2673E">
      <w:pPr>
        <w:pStyle w:val="Web"/>
        <w:spacing w:before="0" w:beforeAutospacing="0" w:after="160" w:afterAutospacing="0" w:line="235" w:lineRule="atLeast"/>
        <w:rPr>
          <w:rFonts w:ascii="Calibri" w:hAnsi="Calibri" w:cs="Calibri"/>
          <w:sz w:val="22"/>
          <w:szCs w:val="22"/>
        </w:rPr>
      </w:pPr>
      <w:r>
        <w:rPr>
          <w:rFonts w:ascii="Times" w:hAnsi="Times" w:cs="Calibri"/>
        </w:rPr>
        <w:t>(5 days, 5 nights: Fee US $600.00).  </w:t>
      </w:r>
    </w:p>
    <w:p w14:paraId="4FD7EBEF" w14:textId="77777777" w:rsidR="00D2673E" w:rsidRDefault="00D2673E" w:rsidP="00D2673E">
      <w:pPr>
        <w:pStyle w:val="Web"/>
        <w:spacing w:before="0" w:beforeAutospacing="0" w:after="160" w:afterAutospacing="0" w:line="235" w:lineRule="atLeast"/>
        <w:rPr>
          <w:rFonts w:ascii="Calibri" w:hAnsi="Calibri" w:cs="Calibri"/>
          <w:sz w:val="22"/>
          <w:szCs w:val="22"/>
        </w:rPr>
      </w:pPr>
      <w:r>
        <w:rPr>
          <w:rFonts w:ascii="Times" w:hAnsi="Times" w:cs="Calibri"/>
        </w:rPr>
        <w:t>(Field leader: Prof. Dr. Lalu Prasad Paudel, email: </w:t>
      </w:r>
      <w:hyperlink r:id="rId10" w:history="1">
        <w:r>
          <w:rPr>
            <w:rStyle w:val="a3"/>
            <w:rFonts w:ascii="Times" w:hAnsi="Times" w:cs="Calibri"/>
            <w:color w:val="0078D4"/>
          </w:rPr>
          <w:t>lalupaudel67@yahoo.com</w:t>
        </w:r>
      </w:hyperlink>
      <w:r>
        <w:rPr>
          <w:rFonts w:ascii="Times" w:hAnsi="Times" w:cs="Calibri"/>
        </w:rPr>
        <w:t>) </w:t>
      </w:r>
    </w:p>
    <w:p w14:paraId="29831C8C"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rPr>
        <w:t>Location</w:t>
      </w:r>
      <w:r>
        <w:rPr>
          <w:rFonts w:ascii="Times" w:hAnsi="Times" w:cs="Calibri"/>
        </w:rPr>
        <w:t> </w:t>
      </w:r>
    </w:p>
    <w:p w14:paraId="25EAEFD7"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xml:space="preserve">The venue of the conference is fixed at the Hotel Pokhara Grande located in </w:t>
      </w:r>
      <w:proofErr w:type="spellStart"/>
      <w:r>
        <w:rPr>
          <w:rFonts w:ascii="Times" w:hAnsi="Times" w:cs="Calibri"/>
        </w:rPr>
        <w:t>Pardi</w:t>
      </w:r>
      <w:proofErr w:type="spellEnd"/>
      <w:r>
        <w:rPr>
          <w:rFonts w:ascii="Times" w:hAnsi="Times" w:cs="Calibri"/>
        </w:rPr>
        <w:t xml:space="preserve"> Pokhara-17 (</w:t>
      </w:r>
      <w:hyperlink r:id="rId11" w:history="1">
        <w:r>
          <w:rPr>
            <w:rStyle w:val="a3"/>
            <w:rFonts w:ascii="Times" w:hAnsi="Times" w:cs="Calibri"/>
            <w:color w:val="0078D4"/>
          </w:rPr>
          <w:t>http://www.pokharagrande.com</w:t>
        </w:r>
      </w:hyperlink>
      <w:r>
        <w:rPr>
          <w:rFonts w:ascii="Times" w:hAnsi="Times" w:cs="Calibri"/>
        </w:rPr>
        <w:t>). Pokhara is connected to Kathmandu by bus (drive 8 hours) and by domestic airplane (fly 30 to 45 minutes).  </w:t>
      </w:r>
    </w:p>
    <w:p w14:paraId="40FFE1CC"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33862F05"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rPr>
        <w:t>Accommodation</w:t>
      </w:r>
      <w:r>
        <w:rPr>
          <w:rFonts w:ascii="Times" w:hAnsi="Times" w:cs="Calibri"/>
        </w:rPr>
        <w:t> </w:t>
      </w:r>
    </w:p>
    <w:p w14:paraId="3DC69979"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The participants, as well as their accompanying partners, should book their accommodation by themselves in numerous hotels and B&amp;Bs in Pokhara. </w:t>
      </w:r>
    </w:p>
    <w:p w14:paraId="06FA9BD0"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573840C5"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   </w:t>
      </w:r>
    </w:p>
    <w:p w14:paraId="2419A6FA"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b/>
          <w:bCs/>
        </w:rPr>
        <w:t>Visas for travel to Nepal.</w:t>
      </w:r>
      <w:r>
        <w:rPr>
          <w:rFonts w:ascii="Times" w:hAnsi="Times" w:cs="Calibri"/>
        </w:rPr>
        <w:t> </w:t>
      </w:r>
    </w:p>
    <w:p w14:paraId="07277D65" w14:textId="77777777" w:rsidR="00D2673E" w:rsidRDefault="00D2673E" w:rsidP="00D2673E">
      <w:pPr>
        <w:pStyle w:val="Web"/>
        <w:spacing w:before="0" w:beforeAutospacing="0" w:after="0" w:afterAutospacing="0"/>
        <w:rPr>
          <w:rFonts w:ascii="Calibri" w:hAnsi="Calibri" w:cs="Calibri"/>
          <w:sz w:val="22"/>
          <w:szCs w:val="22"/>
        </w:rPr>
      </w:pPr>
      <w:r>
        <w:rPr>
          <w:rFonts w:ascii="Times" w:hAnsi="Times" w:cs="Calibri"/>
        </w:rPr>
        <w:t>An on-arrival visa at the Tribhuvan International Airport, Kathmandu is issued for the foreign participants to enter Nepal. If invitation letters from the side of the Nepal Geological Society are required to process your participation, please write to the General Secretary of the Nepal Geological Society at </w:t>
      </w:r>
      <w:hyperlink r:id="rId12" w:history="1">
        <w:r>
          <w:rPr>
            <w:rStyle w:val="a3"/>
            <w:rFonts w:ascii="Times" w:hAnsi="Times" w:cs="Calibri"/>
            <w:color w:val="0078D4"/>
          </w:rPr>
          <w:t>lbadhikari@hotmail.com</w:t>
        </w:r>
      </w:hyperlink>
      <w:r>
        <w:rPr>
          <w:rFonts w:ascii="Times" w:hAnsi="Times" w:cs="Calibri"/>
        </w:rPr>
        <w:t> </w:t>
      </w:r>
    </w:p>
    <w:p w14:paraId="2663285D" w14:textId="77777777" w:rsidR="00E56B6C" w:rsidRPr="00D2673E" w:rsidRDefault="00E56B6C"/>
    <w:sectPr w:rsidR="00E56B6C" w:rsidRPr="00D267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3E"/>
    <w:rsid w:val="001D3162"/>
    <w:rsid w:val="00415E75"/>
    <w:rsid w:val="004D55C9"/>
    <w:rsid w:val="005B0807"/>
    <w:rsid w:val="005B77E6"/>
    <w:rsid w:val="00785CC0"/>
    <w:rsid w:val="007A3BD1"/>
    <w:rsid w:val="007B763C"/>
    <w:rsid w:val="008347EF"/>
    <w:rsid w:val="00925B8D"/>
    <w:rsid w:val="009E5C19"/>
    <w:rsid w:val="00A310C5"/>
    <w:rsid w:val="00D2673E"/>
    <w:rsid w:val="00D52BF9"/>
    <w:rsid w:val="00DC43A3"/>
    <w:rsid w:val="00E07CD4"/>
    <w:rsid w:val="00E56B6C"/>
    <w:rsid w:val="00E73A88"/>
    <w:rsid w:val="00EC1D15"/>
    <w:rsid w:val="00EF52E5"/>
    <w:rsid w:val="00F628FB"/>
    <w:rsid w:val="00FD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CFFC8"/>
  <w15:chartTrackingRefBased/>
  <w15:docId w15:val="{8465AAD5-8B93-4FE5-82B8-A93029A1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73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73E"/>
    <w:rPr>
      <w:color w:val="0000FF"/>
      <w:u w:val="single"/>
    </w:rPr>
  </w:style>
  <w:style w:type="paragraph" w:styleId="Web">
    <w:name w:val="Normal (Web)"/>
    <w:basedOn w:val="a"/>
    <w:uiPriority w:val="99"/>
    <w:semiHidden/>
    <w:unhideWhenUsed/>
    <w:rsid w:val="00D267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upreti@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nta.gajurel@trc.tu.edu.np" TargetMode="External"/><Relationship Id="rId12" Type="http://schemas.openxmlformats.org/officeDocument/2006/relationships/hyperlink" Target="mailto:lbadhikari@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scithapa@yahoo.com" TargetMode="External"/><Relationship Id="rId11" Type="http://schemas.openxmlformats.org/officeDocument/2006/relationships/hyperlink" Target="http://www.pokharagrande.com/" TargetMode="External"/><Relationship Id="rId5" Type="http://schemas.openxmlformats.org/officeDocument/2006/relationships/hyperlink" Target="mailto:paudyalkabi1976@gmail.com" TargetMode="External"/><Relationship Id="rId10" Type="http://schemas.openxmlformats.org/officeDocument/2006/relationships/hyperlink" Target="mailto:lalupaudel67@yahoo.com" TargetMode="External"/><Relationship Id="rId4" Type="http://schemas.openxmlformats.org/officeDocument/2006/relationships/hyperlink" Target="https://ngs.org.np/" TargetMode="External"/><Relationship Id="rId9" Type="http://schemas.openxmlformats.org/officeDocument/2006/relationships/hyperlink" Target="mailto:paudyalkabi197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7410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Masaru</dc:creator>
  <cp:keywords/>
  <dc:description/>
  <cp:lastModifiedBy>Yoshida Masaru</cp:lastModifiedBy>
  <cp:revision>2</cp:revision>
  <cp:lastPrinted>2022-07-04T00:04:00Z</cp:lastPrinted>
  <dcterms:created xsi:type="dcterms:W3CDTF">2022-07-04T00:20:00Z</dcterms:created>
  <dcterms:modified xsi:type="dcterms:W3CDTF">2022-07-04T00:20:00Z</dcterms:modified>
</cp:coreProperties>
</file>